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B1" w:rsidRDefault="00AF6D7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Identity, Sphere of Influence, and Authority</w:t>
      </w:r>
    </w:p>
    <w:p w:rsidR="00B14EB1" w:rsidRDefault="00AF6D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Done in small groups of 6-7 </w:t>
      </w:r>
    </w:p>
    <w:p w:rsidR="00B14EB1" w:rsidRDefault="00AF6D79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Goal: </w:t>
      </w:r>
      <w:r>
        <w:rPr>
          <w:sz w:val="24"/>
          <w:szCs w:val="24"/>
        </w:rPr>
        <w:t xml:space="preserve">Identify leverage and connecting points within our personal and collective network to make pockets of change for youth, especially within your roles in education. </w:t>
      </w:r>
    </w:p>
    <w:p w:rsidR="00B14EB1" w:rsidRDefault="00AF6D79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3529013" cy="3491569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349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4EB1" w:rsidRDefault="00AF6D79">
      <w:pPr>
        <w:rPr>
          <w:sz w:val="24"/>
          <w:szCs w:val="24"/>
        </w:rPr>
      </w:pPr>
      <w:r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Refer back to the list of self-identities from the “Identity Wheel”. Place a star next to the identities where you have perceived power, whether it be through social capital, your profession, and/or networks you are associated with.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sz w:val="24"/>
          <w:szCs w:val="24"/>
        </w:rPr>
      </w:pPr>
      <w:r>
        <w:rPr>
          <w:sz w:val="24"/>
          <w:szCs w:val="24"/>
        </w:rPr>
        <w:t>It’s important to na</w:t>
      </w:r>
      <w:r>
        <w:rPr>
          <w:sz w:val="24"/>
          <w:szCs w:val="24"/>
        </w:rPr>
        <w:t xml:space="preserve">me these networks. Keep these in mind for Step 2.  </w:t>
      </w: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sz w:val="24"/>
          <w:szCs w:val="24"/>
        </w:rPr>
      </w:pPr>
      <w:r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In your small groups, please discuss the following questions and record your answers. You will use these answers in STEP 3.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2 Discussion Questions</w:t>
      </w:r>
    </w:p>
    <w:p w:rsidR="00B14EB1" w:rsidRDefault="00AF6D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currently experience or wi</w:t>
      </w:r>
      <w:r>
        <w:rPr>
          <w:sz w:val="24"/>
          <w:szCs w:val="24"/>
        </w:rPr>
        <w:t xml:space="preserve">tness inequity, barriers, or frustration related to inequity with current institutional systems that are in place? </w:t>
      </w:r>
    </w:p>
    <w:p w:rsidR="00B14EB1" w:rsidRDefault="00AF6D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being impacted the most by these barriers?</w:t>
      </w:r>
    </w:p>
    <w:p w:rsidR="00B14EB1" w:rsidRDefault="00AF6D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use the power and sphere of influence you starred in #1 to begin to address th</w:t>
      </w:r>
      <w:r>
        <w:rPr>
          <w:sz w:val="24"/>
          <w:szCs w:val="24"/>
        </w:rPr>
        <w:t xml:space="preserve">e inequities?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3</w:t>
      </w:r>
    </w:p>
    <w:p w:rsidR="00B14EB1" w:rsidRDefault="00AF6D79">
      <w:r>
        <w:t xml:space="preserve">Thinking about your responses to #3, choose 1 of the strategies and work together to describe how you would approach it within your center/program. Refer to the diagram and description of the strategies below. </w:t>
      </w: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sz w:val="24"/>
          <w:szCs w:val="24"/>
        </w:rPr>
      </w:pPr>
      <w:r>
        <w:rPr>
          <w:sz w:val="24"/>
          <w:szCs w:val="24"/>
        </w:rPr>
        <w:t>Source: The Readi</w:t>
      </w:r>
      <w:r>
        <w:rPr>
          <w:sz w:val="24"/>
          <w:szCs w:val="24"/>
        </w:rPr>
        <w:t>ness Projects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3588526" cy="264744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526" cy="2647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4EB1" w:rsidRDefault="00AF6D79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The Readiness Projects</w:t>
        </w:r>
      </w:hyperlink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Strategies defined:</w:t>
      </w:r>
    </w:p>
    <w:p w:rsidR="00B14EB1" w:rsidRDefault="00AF6D7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Build Back Smarter:</w:t>
      </w:r>
      <w:r>
        <w:rPr>
          <w:sz w:val="24"/>
          <w:szCs w:val="24"/>
        </w:rPr>
        <w:t xml:space="preserve"> Acknowledge learners’ losses while affirming learning ability. Optimize learning environments while prioritizing reconnection.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Build Back Broader:</w:t>
      </w:r>
      <w:r>
        <w:rPr>
          <w:sz w:val="24"/>
          <w:szCs w:val="24"/>
        </w:rPr>
        <w:t xml:space="preserve"> Support complementary learning delivery systems and modalities. Invest in program-level staff and city-lev</w:t>
      </w:r>
      <w:r>
        <w:rPr>
          <w:sz w:val="24"/>
          <w:szCs w:val="24"/>
        </w:rPr>
        <w:t xml:space="preserve">el coordinating structures.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Build Back Bolder: </w:t>
      </w:r>
      <w:r>
        <w:rPr>
          <w:sz w:val="24"/>
          <w:szCs w:val="24"/>
        </w:rPr>
        <w:t xml:space="preserve">Focus on how, why, and with whom learning happens. Respect and diversify learner’s experiences, contexts, and adults’ expertise and power.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Build Understanding of Inequity:</w:t>
      </w:r>
      <w:r>
        <w:rPr>
          <w:sz w:val="24"/>
          <w:szCs w:val="24"/>
        </w:rPr>
        <w:t xml:space="preserve"> Equity is the goal, but inequity </w:t>
      </w:r>
      <w:r>
        <w:rPr>
          <w:sz w:val="24"/>
          <w:szCs w:val="24"/>
        </w:rPr>
        <w:t xml:space="preserve">is the reality. Acknowledging skepticism, take time to get baseline data right in order to truly cover all bases. </w:t>
      </w: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Build on Adolescents’ Determination:</w:t>
      </w:r>
      <w:r>
        <w:rPr>
          <w:sz w:val="24"/>
          <w:szCs w:val="24"/>
        </w:rPr>
        <w:t xml:space="preserve"> Embrace adolescent risk taking and leverage the brain science. Create and support alternative success </w:t>
      </w:r>
      <w:r>
        <w:rPr>
          <w:sz w:val="24"/>
          <w:szCs w:val="24"/>
        </w:rPr>
        <w:t xml:space="preserve">pathways for all adolescents to be competent, connected, confident contributors. </w:t>
      </w: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AF6D7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STEP 3</w:t>
      </w:r>
    </w:p>
    <w:p w:rsidR="00B14EB1" w:rsidRDefault="00AF6D79">
      <w:pPr>
        <w:rPr>
          <w:sz w:val="24"/>
          <w:szCs w:val="24"/>
        </w:rPr>
      </w:pPr>
      <w:r>
        <w:rPr>
          <w:i/>
        </w:rPr>
        <w:lastRenderedPageBreak/>
        <w:t xml:space="preserve">Thinking about your responses to #3, choose 1 of the strategies and work together to describe how you would approach it within your center/program. Refer to the diagram and description of the strategies below. </w:t>
      </w: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rPr>
          <w:sz w:val="24"/>
          <w:szCs w:val="24"/>
        </w:rPr>
      </w:pPr>
    </w:p>
    <w:p w:rsidR="00B14EB1" w:rsidRDefault="00B14EB1">
      <w:pPr>
        <w:spacing w:before="280" w:line="240" w:lineRule="auto"/>
      </w:pPr>
    </w:p>
    <w:sectPr w:rsidR="00B14EB1">
      <w:headerReference w:type="default" r:id="rId10"/>
      <w:pgSz w:w="15840" w:h="12240" w:orient="landscape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D79">
      <w:pPr>
        <w:spacing w:line="240" w:lineRule="auto"/>
      </w:pPr>
      <w:r>
        <w:separator/>
      </w:r>
    </w:p>
  </w:endnote>
  <w:endnote w:type="continuationSeparator" w:id="0">
    <w:p w:rsidR="00000000" w:rsidRDefault="00AF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D79">
      <w:pPr>
        <w:spacing w:line="240" w:lineRule="auto"/>
      </w:pPr>
      <w:r>
        <w:separator/>
      </w:r>
    </w:p>
  </w:footnote>
  <w:footnote w:type="continuationSeparator" w:id="0">
    <w:p w:rsidR="00000000" w:rsidRDefault="00AF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B1" w:rsidRDefault="00B14EB1">
    <w:pPr>
      <w:rPr>
        <w:b/>
        <w:sz w:val="26"/>
        <w:szCs w:val="26"/>
      </w:rPr>
    </w:pPr>
  </w:p>
  <w:p w:rsidR="00B14EB1" w:rsidRDefault="00B14EB1">
    <w:pPr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E7C"/>
    <w:multiLevelType w:val="multilevel"/>
    <w:tmpl w:val="AFD060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A15430"/>
    <w:multiLevelType w:val="multilevel"/>
    <w:tmpl w:val="E340C4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B1"/>
    <w:rsid w:val="00AF6D79"/>
    <w:rsid w:val="00B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5404B-9E80-4420-8ED9-1E82DF9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um.com/changing-the-odds/five-strategies-to-build-forward-together-to-upend-inequity-and-accelerate-progress-d050f6f26d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Hall</dc:creator>
  <cp:lastModifiedBy>Crystal Hall</cp:lastModifiedBy>
  <cp:revision>2</cp:revision>
  <dcterms:created xsi:type="dcterms:W3CDTF">2021-03-30T19:41:00Z</dcterms:created>
  <dcterms:modified xsi:type="dcterms:W3CDTF">2021-03-30T19:41:00Z</dcterms:modified>
</cp:coreProperties>
</file>