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A0F17A" w14:textId="0261EC9E" w:rsidR="005364AC" w:rsidRDefault="007F3F0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7F3F03">
        <w:rPr>
          <w:rFonts w:ascii="Arial" w:eastAsia="Arial" w:hAnsi="Arial" w:cs="Arial"/>
          <w:b/>
          <w:noProof/>
          <w:sz w:val="24"/>
          <w:szCs w:val="24"/>
        </w:rPr>
        <w:drawing>
          <wp:inline distT="0" distB="0" distL="0" distR="0" wp14:anchorId="3D2DDC50" wp14:editId="4F07E0BC">
            <wp:extent cx="787179" cy="527109"/>
            <wp:effectExtent l="0" t="0" r="0" b="6350"/>
            <wp:docPr id="1" name="Picture 1" descr="E:\UWSC Files\Photos and Icons\Logos\2019 Logo - RGB - Vertical 1 line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UWSC Files\Photos and Icons\Logos\2019 Logo - RGB - Vertical 1 line 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168" cy="55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D2EAEF" w14:textId="77777777" w:rsidR="005364AC" w:rsidRDefault="00536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881F20" w14:textId="22423058" w:rsidR="00EB3267" w:rsidRPr="00314E15" w:rsidRDefault="005364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 w:rsidRPr="00314E15">
        <w:rPr>
          <w:rFonts w:ascii="Arial" w:eastAsia="Arial" w:hAnsi="Arial" w:cs="Arial"/>
          <w:b/>
        </w:rPr>
        <w:t>United Way of Story County</w:t>
      </w:r>
    </w:p>
    <w:p w14:paraId="50881F21" w14:textId="52D4A18F" w:rsidR="00EB3267" w:rsidRPr="00314E15" w:rsidRDefault="00875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Advancing Equity with Iowa Afterschool Alliance</w:t>
      </w:r>
    </w:p>
    <w:p w14:paraId="50881F22" w14:textId="01FF1A68" w:rsidR="00EB3267" w:rsidRPr="00314E15" w:rsidRDefault="00EA34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“Building Connections by Understanding Equity, Empathy, and Inclusion”</w:t>
      </w:r>
    </w:p>
    <w:p w14:paraId="79E8D953" w14:textId="77777777" w:rsidR="00693F22" w:rsidRDefault="00693F22" w:rsidP="00B0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/>
        </w:rPr>
      </w:pPr>
    </w:p>
    <w:p w14:paraId="50881F24" w14:textId="4C04EB39" w:rsidR="00EB3267" w:rsidRPr="00314E15" w:rsidRDefault="000E5BD2" w:rsidP="00B0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  <w:bCs/>
        </w:rPr>
      </w:pPr>
      <w:r w:rsidRPr="00314E15">
        <w:rPr>
          <w:rFonts w:ascii="Arial" w:eastAsia="Arial" w:hAnsi="Arial" w:cs="Arial"/>
          <w:b/>
        </w:rPr>
        <w:t>Session Time</w:t>
      </w:r>
      <w:r w:rsidR="009F6C71" w:rsidRPr="00314E15">
        <w:rPr>
          <w:rFonts w:ascii="Arial" w:eastAsia="Arial" w:hAnsi="Arial" w:cs="Arial"/>
          <w:b/>
        </w:rPr>
        <w:t xml:space="preserve"> and Date</w:t>
      </w:r>
      <w:r w:rsidRPr="00314E15">
        <w:rPr>
          <w:rFonts w:ascii="Arial" w:eastAsia="Arial" w:hAnsi="Arial" w:cs="Arial"/>
          <w:b/>
        </w:rPr>
        <w:t xml:space="preserve">: </w:t>
      </w:r>
      <w:r w:rsidR="00EA341B">
        <w:rPr>
          <w:rFonts w:ascii="Arial" w:eastAsia="Arial" w:hAnsi="Arial" w:cs="Arial"/>
          <w:b/>
        </w:rPr>
        <w:t>3/30/21, 12:00 pm – 2:00 pm</w:t>
      </w:r>
      <w:r w:rsidR="009F6C71" w:rsidRPr="00314E15">
        <w:rPr>
          <w:rFonts w:ascii="Arial" w:eastAsia="Arial" w:hAnsi="Arial" w:cs="Arial"/>
          <w:b/>
        </w:rPr>
        <w:t xml:space="preserve"> </w:t>
      </w:r>
    </w:p>
    <w:p w14:paraId="50881F25" w14:textId="3B9DAE36" w:rsidR="00EB3267" w:rsidRDefault="00875910" w:rsidP="00B0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 w:rsidRPr="00875910">
        <w:rPr>
          <w:rFonts w:ascii="Arial" w:eastAsia="Arial" w:hAnsi="Arial" w:cs="Arial"/>
        </w:rPr>
        <w:t>*Team discussed launching a series</w:t>
      </w:r>
      <w:r w:rsidR="00E332CF">
        <w:rPr>
          <w:rFonts w:ascii="Arial" w:eastAsia="Arial" w:hAnsi="Arial" w:cs="Arial"/>
        </w:rPr>
        <w:t>, this would be part of the series</w:t>
      </w:r>
    </w:p>
    <w:p w14:paraId="2B3133D2" w14:textId="68BFF950" w:rsidR="00E332CF" w:rsidRPr="00875910" w:rsidRDefault="00E332CF" w:rsidP="00B0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*Breaks would be worked in during the session </w:t>
      </w:r>
    </w:p>
    <w:p w14:paraId="50881F28" w14:textId="3B37DF54" w:rsidR="00EB3267" w:rsidRPr="00314E15" w:rsidRDefault="00EB3267" w:rsidP="00B0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</w:p>
    <w:p w14:paraId="0AF22924" w14:textId="4F6842BC" w:rsidR="00B536F5" w:rsidRPr="00314E15" w:rsidRDefault="00EA341B" w:rsidP="00B05E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Description</w:t>
      </w:r>
      <w:r w:rsidR="007167EB" w:rsidRPr="00314E15">
        <w:rPr>
          <w:rFonts w:ascii="Arial" w:eastAsia="Arial" w:hAnsi="Arial" w:cs="Arial"/>
          <w:b/>
          <w:bCs/>
        </w:rPr>
        <w:t>:</w:t>
      </w:r>
      <w:r w:rsidR="007167EB" w:rsidRPr="00314E15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Participants will establish a foundation of learning about equity principles by exploring their personal “why”, develop a common understanding of frequently used terms, define and unpack the four areas of change necessary for equity</w:t>
      </w:r>
      <w:r w:rsidR="008A5668">
        <w:rPr>
          <w:rFonts w:ascii="Arial" w:eastAsia="Arial" w:hAnsi="Arial" w:cs="Arial"/>
        </w:rPr>
        <w:t xml:space="preserve">, and begin action planning for future internal practices to support teams and better serve youth.  </w:t>
      </w:r>
      <w:r w:rsidR="0044000A">
        <w:rPr>
          <w:rFonts w:ascii="Arial" w:eastAsia="Arial" w:hAnsi="Arial" w:cs="Arial"/>
        </w:rPr>
        <w:t xml:space="preserve"> </w:t>
      </w:r>
    </w:p>
    <w:p w14:paraId="50881F2D" w14:textId="6C0BD5ED" w:rsidR="00EB3267" w:rsidRDefault="00EB3267">
      <w:pPr>
        <w:spacing w:after="0" w:line="240" w:lineRule="auto"/>
        <w:jc w:val="center"/>
        <w:rPr>
          <w:rFonts w:ascii="Arial" w:eastAsia="Arial" w:hAnsi="Arial" w:cs="Arial"/>
        </w:rPr>
      </w:pPr>
    </w:p>
    <w:tbl>
      <w:tblPr>
        <w:tblStyle w:val="a"/>
        <w:tblW w:w="9400" w:type="dxa"/>
        <w:tblInd w:w="7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290"/>
        <w:gridCol w:w="2110"/>
      </w:tblGrid>
      <w:tr w:rsidR="00EB3267" w14:paraId="50881F2F" w14:textId="77777777" w:rsidTr="00E728BB">
        <w:trPr>
          <w:trHeight w:val="321"/>
        </w:trPr>
        <w:tc>
          <w:tcPr>
            <w:tcW w:w="9400" w:type="dxa"/>
            <w:gridSpan w:val="2"/>
          </w:tcPr>
          <w:p w14:paraId="50881F2E" w14:textId="57C85AE0" w:rsidR="00EB3267" w:rsidRPr="006C636A" w:rsidRDefault="000E5B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C636A">
              <w:rPr>
                <w:rFonts w:ascii="Arial" w:eastAsia="Arial" w:hAnsi="Arial" w:cs="Arial"/>
                <w:b/>
                <w:sz w:val="20"/>
                <w:szCs w:val="20"/>
              </w:rPr>
              <w:t>Goal: Intro</w:t>
            </w:r>
            <w:r w:rsidR="008D238B" w:rsidRPr="006C636A">
              <w:rPr>
                <w:rFonts w:ascii="Arial" w:eastAsia="Arial" w:hAnsi="Arial" w:cs="Arial"/>
                <w:b/>
                <w:sz w:val="20"/>
                <w:szCs w:val="20"/>
              </w:rPr>
              <w:t>duction</w:t>
            </w:r>
            <w:r w:rsidRPr="006C636A">
              <w:rPr>
                <w:rFonts w:ascii="Arial" w:eastAsia="Arial" w:hAnsi="Arial" w:cs="Arial"/>
                <w:b/>
                <w:sz w:val="20"/>
                <w:szCs w:val="20"/>
              </w:rPr>
              <w:t xml:space="preserve"> of the session &amp; identifying internal motivator for the work </w:t>
            </w:r>
          </w:p>
        </w:tc>
      </w:tr>
      <w:tr w:rsidR="00EB3267" w14:paraId="50881F36" w14:textId="77777777" w:rsidTr="00314E15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113B4" w14:textId="377DE6BC" w:rsidR="00EA341B" w:rsidRPr="006C636A" w:rsidRDefault="00EA341B" w:rsidP="00314E1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6C636A">
              <w:rPr>
                <w:rFonts w:ascii="Arial" w:eastAsia="Arial" w:hAnsi="Arial" w:cs="Arial"/>
              </w:rPr>
              <w:t>Introduction to me</w:t>
            </w:r>
          </w:p>
          <w:p w14:paraId="2DE0FBC2" w14:textId="77777777" w:rsidR="00EA341B" w:rsidRPr="006C636A" w:rsidRDefault="00314E15" w:rsidP="00314E1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6C636A">
              <w:rPr>
                <w:rFonts w:ascii="Arial" w:eastAsia="Arial" w:hAnsi="Arial" w:cs="Arial"/>
              </w:rPr>
              <w:t>Overview of the agenda</w:t>
            </w:r>
          </w:p>
          <w:p w14:paraId="401D405D" w14:textId="4399963D" w:rsidR="00026135" w:rsidRPr="006C636A" w:rsidRDefault="00EA341B" w:rsidP="00314E15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 w:rsidRPr="006C636A">
              <w:rPr>
                <w:rFonts w:ascii="Arial" w:eastAsia="Arial" w:hAnsi="Arial" w:cs="Arial"/>
              </w:rPr>
              <w:t>Icebreaker</w:t>
            </w:r>
            <w:r w:rsidR="00314E15" w:rsidRPr="006C636A">
              <w:rPr>
                <w:rFonts w:ascii="Arial" w:eastAsia="Arial" w:hAnsi="Arial" w:cs="Arial"/>
              </w:rPr>
              <w:t xml:space="preserve"> </w:t>
            </w:r>
            <w:r w:rsidR="00026135">
              <w:rPr>
                <w:rFonts w:ascii="Arial" w:eastAsia="Arial" w:hAnsi="Arial" w:cs="Arial"/>
              </w:rPr>
              <w:t xml:space="preserve">&amp; </w:t>
            </w:r>
            <w:r w:rsidRPr="006C636A">
              <w:rPr>
                <w:rFonts w:ascii="Arial" w:eastAsia="Arial" w:hAnsi="Arial" w:cs="Arial"/>
              </w:rPr>
              <w:t>container building</w:t>
            </w:r>
            <w:r w:rsidR="00026135">
              <w:rPr>
                <w:rFonts w:ascii="Arial" w:eastAsia="Arial" w:hAnsi="Arial" w:cs="Arial"/>
              </w:rPr>
              <w:t xml:space="preserve"> on </w:t>
            </w:r>
            <w:hyperlink r:id="rId9" w:history="1">
              <w:r w:rsidR="00026135" w:rsidRPr="008A63DF">
                <w:rPr>
                  <w:rStyle w:val="Hyperlink"/>
                  <w:rFonts w:ascii="Arial" w:eastAsia="Arial" w:hAnsi="Arial" w:cs="Arial"/>
                </w:rPr>
                <w:t>www.menti.com</w:t>
              </w:r>
            </w:hyperlink>
            <w:r w:rsidR="00026135">
              <w:rPr>
                <w:rFonts w:ascii="Arial" w:eastAsia="Arial" w:hAnsi="Arial" w:cs="Arial"/>
              </w:rPr>
              <w:t xml:space="preserve"> with code </w:t>
            </w:r>
            <w:r w:rsidR="00026135" w:rsidRPr="0044000A">
              <w:rPr>
                <w:rFonts w:ascii="Arial" w:eastAsia="Arial" w:hAnsi="Arial" w:cs="Arial"/>
                <w:b/>
              </w:rPr>
              <w:t>8009 4250</w:t>
            </w:r>
          </w:p>
          <w:p w14:paraId="50881F32" w14:textId="7625837D" w:rsidR="00314E15" w:rsidRPr="006C636A" w:rsidRDefault="00314E15" w:rsidP="006C636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52BF7" w14:textId="77777777" w:rsidR="00EB3267" w:rsidRDefault="00EA341B" w:rsidP="00314E15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 w:rsidRPr="006C636A">
              <w:rPr>
                <w:rFonts w:ascii="Arial" w:eastAsia="Arial" w:hAnsi="Arial" w:cs="Arial"/>
              </w:rPr>
              <w:t xml:space="preserve">15 min. </w:t>
            </w:r>
          </w:p>
          <w:p w14:paraId="1861F06E" w14:textId="77777777" w:rsidR="004F5409" w:rsidRDefault="004F5409" w:rsidP="00314E15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  <w:p w14:paraId="50881F35" w14:textId="15F906C1" w:rsidR="004F5409" w:rsidRPr="006C636A" w:rsidRDefault="004F5409" w:rsidP="004F5409">
            <w:pPr>
              <w:widowControl w:val="0"/>
              <w:spacing w:after="0" w:line="240" w:lineRule="auto"/>
              <w:ind w:left="-1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12:00 – 12:15</w:t>
            </w:r>
          </w:p>
        </w:tc>
      </w:tr>
      <w:tr w:rsidR="0020582E" w14:paraId="63A1A8CE" w14:textId="77777777" w:rsidTr="00B74EB6">
        <w:tc>
          <w:tcPr>
            <w:tcW w:w="94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FD240" w14:textId="677C5517" w:rsidR="0020582E" w:rsidRPr="0020582E" w:rsidRDefault="0020582E" w:rsidP="0020582E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Goal: Introduction of the session, identifying internal motivator for the work</w:t>
            </w:r>
            <w:r w:rsidR="006C636A">
              <w:rPr>
                <w:rFonts w:ascii="Arial" w:eastAsia="Arial" w:hAnsi="Arial" w:cs="Arial"/>
                <w:b/>
                <w:bCs/>
                <w:sz w:val="20"/>
                <w:szCs w:val="20"/>
              </w:rPr>
              <w:t>, building the foundation for the session</w:t>
            </w:r>
          </w:p>
        </w:tc>
      </w:tr>
      <w:tr w:rsidR="00285018" w14:paraId="6E31C577" w14:textId="77777777" w:rsidTr="00314E15">
        <w:tc>
          <w:tcPr>
            <w:tcW w:w="72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73B22" w14:textId="77777777" w:rsidR="00CF7D53" w:rsidRDefault="00314E15" w:rsidP="006C636A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Uncover your “why” </w:t>
            </w:r>
            <w:r w:rsidR="006C636A">
              <w:rPr>
                <w:rFonts w:ascii="Arial" w:eastAsia="Arial" w:hAnsi="Arial" w:cs="Arial"/>
              </w:rPr>
              <w:t xml:space="preserve"> </w:t>
            </w:r>
          </w:p>
          <w:p w14:paraId="5ED848BC" w14:textId="77777777" w:rsidR="006C636A" w:rsidRDefault="006C636A" w:rsidP="006C636A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“Why” video – approx. 4 min</w:t>
            </w:r>
          </w:p>
          <w:p w14:paraId="68FCDA96" w14:textId="77777777" w:rsidR="006C636A" w:rsidRDefault="006C636A" w:rsidP="006C636A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Reflection</w:t>
            </w:r>
          </w:p>
          <w:p w14:paraId="64DBFAF5" w14:textId="09FCDAB6" w:rsidR="006C636A" w:rsidRDefault="006C636A" w:rsidP="006C636A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Cycle of dysfunction and inaction with equity and systems change – what we need to be able to push through it</w:t>
            </w:r>
          </w:p>
          <w:p w14:paraId="112C61DE" w14:textId="6EB52718" w:rsidR="006C636A" w:rsidRPr="006C636A" w:rsidRDefault="006C636A" w:rsidP="00656723">
            <w:pPr>
              <w:pStyle w:val="ListParagraph"/>
              <w:widowControl w:val="0"/>
              <w:numPr>
                <w:ilvl w:val="0"/>
                <w:numId w:val="12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Personal stories – my narrative and others</w:t>
            </w:r>
          </w:p>
        </w:tc>
        <w:tc>
          <w:tcPr>
            <w:tcW w:w="2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80833" w14:textId="77777777" w:rsidR="00285018" w:rsidRDefault="00656723" w:rsidP="00314E15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 min.</w:t>
            </w:r>
          </w:p>
          <w:p w14:paraId="5EE46CF8" w14:textId="77777777" w:rsidR="004F5409" w:rsidRDefault="004F5409" w:rsidP="00314E15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B34382" w14:textId="00C0415F" w:rsidR="004F5409" w:rsidRPr="00314E15" w:rsidRDefault="004F5409" w:rsidP="004F5409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12:15 – 12:30</w:t>
            </w:r>
          </w:p>
        </w:tc>
      </w:tr>
      <w:tr w:rsidR="00EB3267" w14:paraId="50881F3F" w14:textId="77777777" w:rsidTr="00B05EF0">
        <w:trPr>
          <w:trHeight w:val="420"/>
        </w:trPr>
        <w:tc>
          <w:tcPr>
            <w:tcW w:w="9400" w:type="dxa"/>
            <w:gridSpan w:val="2"/>
          </w:tcPr>
          <w:p w14:paraId="50881F3E" w14:textId="27EA5586" w:rsidR="00EB3267" w:rsidRPr="005A6520" w:rsidRDefault="000E5BD2" w:rsidP="005A6520">
            <w:pPr>
              <w:widowControl w:val="0"/>
              <w:spacing w:after="0" w:line="240" w:lineRule="auto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5A6520">
              <w:rPr>
                <w:rFonts w:ascii="Arial" w:eastAsia="Arial" w:hAnsi="Arial" w:cs="Arial"/>
                <w:b/>
                <w:sz w:val="20"/>
                <w:szCs w:val="20"/>
              </w:rPr>
              <w:t xml:space="preserve">Goal: </w:t>
            </w:r>
            <w:r w:rsidR="005A6520" w:rsidRPr="005A6520">
              <w:rPr>
                <w:rFonts w:ascii="Arial" w:eastAsia="Arial" w:hAnsi="Arial" w:cs="Arial"/>
                <w:b/>
                <w:sz w:val="20"/>
                <w:szCs w:val="20"/>
              </w:rPr>
              <w:t xml:space="preserve">“Words Matter”, </w:t>
            </w:r>
            <w:r w:rsidRPr="005A6520">
              <w:rPr>
                <w:rFonts w:ascii="Arial" w:eastAsia="Arial" w:hAnsi="Arial" w:cs="Arial"/>
                <w:b/>
                <w:sz w:val="20"/>
                <w:szCs w:val="20"/>
              </w:rPr>
              <w:t xml:space="preserve">Ground the team </w:t>
            </w:r>
            <w:r w:rsidR="008F46BD" w:rsidRPr="005A6520">
              <w:rPr>
                <w:rFonts w:ascii="Arial" w:eastAsia="Arial" w:hAnsi="Arial" w:cs="Arial"/>
                <w:b/>
                <w:sz w:val="20"/>
                <w:szCs w:val="20"/>
              </w:rPr>
              <w:t>common language</w:t>
            </w:r>
            <w:r w:rsidR="00E332CF" w:rsidRPr="005A6520">
              <w:rPr>
                <w:rFonts w:ascii="Arial" w:eastAsia="Arial" w:hAnsi="Arial" w:cs="Arial"/>
                <w:b/>
                <w:sz w:val="20"/>
                <w:szCs w:val="20"/>
              </w:rPr>
              <w:t xml:space="preserve"> and state level work related to children </w:t>
            </w:r>
          </w:p>
        </w:tc>
      </w:tr>
      <w:tr w:rsidR="00EB3267" w14:paraId="50881F4E" w14:textId="77777777" w:rsidTr="00314E15">
        <w:trPr>
          <w:trHeight w:val="420"/>
        </w:trPr>
        <w:tc>
          <w:tcPr>
            <w:tcW w:w="7290" w:type="dxa"/>
          </w:tcPr>
          <w:p w14:paraId="6FE9DFE1" w14:textId="3E267453" w:rsidR="00314E15" w:rsidRDefault="00E332CF" w:rsidP="00E332C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Equity vs equality</w:t>
            </w:r>
          </w:p>
          <w:p w14:paraId="48C8104F" w14:textId="4996FC61" w:rsidR="00E332CF" w:rsidRDefault="005A6520" w:rsidP="00E332CF">
            <w:pPr>
              <w:pStyle w:val="ListParagraph"/>
              <w:widowControl w:val="0"/>
              <w:numPr>
                <w:ilvl w:val="0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Understanding the term “Privilege”</w:t>
            </w:r>
          </w:p>
          <w:p w14:paraId="4726146C" w14:textId="77777777" w:rsidR="00E32F59" w:rsidRDefault="005A6520" w:rsidP="005A6520">
            <w:pPr>
              <w:pStyle w:val="ListParagraph"/>
              <w:widowControl w:val="0"/>
              <w:numPr>
                <w:ilvl w:val="1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5A6520">
              <w:rPr>
                <w:rFonts w:ascii="Arial" w:eastAsia="Arial" w:hAnsi="Arial" w:cs="Arial"/>
              </w:rPr>
              <w:t>Courageous Conversations Exercise “Understanding Privilege”, Part 1 only</w:t>
            </w:r>
          </w:p>
          <w:p w14:paraId="50881F40" w14:textId="523E02FA" w:rsidR="008A5668" w:rsidRPr="00E32F59" w:rsidRDefault="008A5668" w:rsidP="008A5668">
            <w:pPr>
              <w:pStyle w:val="ListParagraph"/>
              <w:widowControl w:val="0"/>
              <w:numPr>
                <w:ilvl w:val="1"/>
                <w:numId w:val="8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Link in chat: </w:t>
            </w:r>
            <w:hyperlink r:id="rId10" w:history="1">
              <w:r w:rsidRPr="00CE5EBB">
                <w:rPr>
                  <w:rStyle w:val="Hyperlink"/>
                  <w:rFonts w:ascii="Arial" w:eastAsia="Arial" w:hAnsi="Arial" w:cs="Arial"/>
                </w:rPr>
                <w:t>https://drive.google.com/file/d/1ST289e3JAfdCRGGv7b7l_XFJZNhQBYnd/view?usp=sharing</w:t>
              </w:r>
            </w:hyperlink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2110" w:type="dxa"/>
          </w:tcPr>
          <w:p w14:paraId="7A908A21" w14:textId="21E2D453" w:rsidR="00B05EF0" w:rsidRDefault="0095044A" w:rsidP="0095044A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 w:rsidR="008A5668">
              <w:rPr>
                <w:rFonts w:ascii="Arial" w:eastAsia="Arial" w:hAnsi="Arial" w:cs="Arial"/>
                <w:sz w:val="20"/>
                <w:szCs w:val="20"/>
              </w:rPr>
              <w:t>0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m</w:t>
            </w:r>
            <w:r w:rsidR="00E332CF">
              <w:rPr>
                <w:rFonts w:ascii="Arial" w:eastAsia="Arial" w:hAnsi="Arial" w:cs="Arial"/>
                <w:sz w:val="20"/>
                <w:szCs w:val="20"/>
              </w:rPr>
              <w:t>in</w:t>
            </w:r>
          </w:p>
          <w:p w14:paraId="028D05FF" w14:textId="77777777" w:rsidR="004F5409" w:rsidRDefault="004F5409" w:rsidP="0095044A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  <w:sz w:val="20"/>
                <w:szCs w:val="20"/>
              </w:rPr>
            </w:pPr>
          </w:p>
          <w:p w14:paraId="6FFD7027" w14:textId="77777777" w:rsidR="004F5409" w:rsidRDefault="005A6520" w:rsidP="008A566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12:30 – 12:5</w:t>
            </w:r>
            <w:r w:rsidR="008A5668">
              <w:rPr>
                <w:rFonts w:ascii="Arial" w:eastAsia="Arial" w:hAnsi="Arial" w:cs="Arial"/>
                <w:sz w:val="20"/>
                <w:szCs w:val="20"/>
              </w:rPr>
              <w:t>0</w:t>
            </w:r>
          </w:p>
          <w:p w14:paraId="50881F4D" w14:textId="15F841B5" w:rsidR="008A5668" w:rsidRPr="00314E15" w:rsidRDefault="008A5668" w:rsidP="008A5668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656723" w14:paraId="49BF61B9" w14:textId="77777777" w:rsidTr="00B05EF0">
        <w:trPr>
          <w:trHeight w:val="420"/>
        </w:trPr>
        <w:tc>
          <w:tcPr>
            <w:tcW w:w="9400" w:type="dxa"/>
            <w:gridSpan w:val="2"/>
          </w:tcPr>
          <w:p w14:paraId="6FE89C41" w14:textId="24EA459F" w:rsidR="00656723" w:rsidRPr="00656723" w:rsidRDefault="0065672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656723">
              <w:rPr>
                <w:rFonts w:ascii="Arial" w:eastAsia="Arial" w:hAnsi="Arial" w:cs="Arial"/>
                <w:b/>
                <w:sz w:val="20"/>
                <w:szCs w:val="20"/>
              </w:rPr>
              <w:t>Goal: The relationship between identity, empathy, and inclusion – concepts that can be carried forward</w:t>
            </w:r>
          </w:p>
        </w:tc>
      </w:tr>
      <w:tr w:rsidR="00E32F59" w14:paraId="25C3701A" w14:textId="77777777" w:rsidTr="00E32F59">
        <w:trPr>
          <w:trHeight w:val="420"/>
        </w:trPr>
        <w:tc>
          <w:tcPr>
            <w:tcW w:w="7290" w:type="dxa"/>
          </w:tcPr>
          <w:p w14:paraId="75FD54B7" w14:textId="277B038E" w:rsidR="0044000A" w:rsidRDefault="007F3F03" w:rsidP="0044000A">
            <w:pPr>
              <w:pStyle w:val="ListParagraph"/>
              <w:widowControl w:val="0"/>
              <w:numPr>
                <w:ilvl w:val="0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A5668">
              <w:rPr>
                <w:rFonts w:ascii="Arial" w:eastAsia="Arial" w:hAnsi="Arial" w:cs="Arial"/>
                <w:b/>
              </w:rPr>
              <w:t xml:space="preserve">Identity Wheel </w:t>
            </w:r>
            <w:r w:rsidR="00E32F59" w:rsidRPr="008A5668">
              <w:rPr>
                <w:rFonts w:ascii="Arial" w:eastAsia="Arial" w:hAnsi="Arial" w:cs="Arial"/>
                <w:b/>
              </w:rPr>
              <w:t>exercise</w:t>
            </w:r>
            <w:r w:rsidRPr="008A5668">
              <w:rPr>
                <w:rFonts w:ascii="Arial" w:eastAsia="Arial" w:hAnsi="Arial" w:cs="Arial"/>
                <w:b/>
              </w:rPr>
              <w:t xml:space="preserve"> – done with breakout rooms</w:t>
            </w:r>
          </w:p>
          <w:p w14:paraId="53AEB4B3" w14:textId="3FCFD756" w:rsidR="008A5668" w:rsidRDefault="008A5668" w:rsidP="008A5668">
            <w:pPr>
              <w:pStyle w:val="ListParagraph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 w:rsidRPr="008A5668">
              <w:rPr>
                <w:rFonts w:ascii="Arial" w:eastAsia="Arial" w:hAnsi="Arial" w:cs="Arial"/>
              </w:rPr>
              <w:t>(12:55 – 1) self-identify groups</w:t>
            </w:r>
          </w:p>
          <w:p w14:paraId="4B917D26" w14:textId="77777777" w:rsidR="008A5668" w:rsidRDefault="008A5668" w:rsidP="008A5668">
            <w:pPr>
              <w:pStyle w:val="ListParagraph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(1:00 – 1:15) in small groups with linked doc</w:t>
            </w:r>
          </w:p>
          <w:p w14:paraId="2A424F11" w14:textId="77777777" w:rsidR="008A5668" w:rsidRDefault="008A5668" w:rsidP="008A5668">
            <w:pPr>
              <w:pStyle w:val="ListParagraph"/>
              <w:widowControl w:val="0"/>
              <w:numPr>
                <w:ilvl w:val="2"/>
                <w:numId w:val="13"/>
              </w:numPr>
              <w:spacing w:after="0" w:line="240" w:lineRule="auto"/>
              <w:rPr>
                <w:rFonts w:ascii="Arial" w:eastAsia="Arial" w:hAnsi="Arial" w:cs="Arial"/>
              </w:rPr>
            </w:pPr>
            <w:hyperlink r:id="rId11" w:history="1">
              <w:r w:rsidRPr="008A5668">
                <w:rPr>
                  <w:rStyle w:val="Hyperlink"/>
                  <w:rFonts w:ascii="Arial" w:eastAsia="Arial" w:hAnsi="Arial" w:cs="Arial"/>
                </w:rPr>
                <w:t>shared doc</w:t>
              </w:r>
            </w:hyperlink>
          </w:p>
          <w:p w14:paraId="3A44F0CA" w14:textId="0FADEFF3" w:rsidR="0044000A" w:rsidRPr="0044000A" w:rsidRDefault="008A5668" w:rsidP="008A5668">
            <w:pPr>
              <w:pStyle w:val="ListParagraph"/>
              <w:widowControl w:val="0"/>
              <w:numPr>
                <w:ilvl w:val="1"/>
                <w:numId w:val="13"/>
              </w:num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8A5668">
              <w:rPr>
                <w:rFonts w:ascii="Arial" w:eastAsia="Arial" w:hAnsi="Arial" w:cs="Arial"/>
              </w:rPr>
              <w:t xml:space="preserve">(1:15 – 1:25) large group </w:t>
            </w:r>
          </w:p>
        </w:tc>
        <w:tc>
          <w:tcPr>
            <w:tcW w:w="2110" w:type="dxa"/>
          </w:tcPr>
          <w:p w14:paraId="6BCECE7E" w14:textId="67BC22B8" w:rsidR="00E32F59" w:rsidRDefault="008A5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  <w:r w:rsidR="007F3F03" w:rsidRPr="007F3F03">
              <w:rPr>
                <w:rFonts w:ascii="Arial" w:eastAsia="Arial" w:hAnsi="Arial" w:cs="Arial"/>
              </w:rPr>
              <w:t xml:space="preserve"> min.</w:t>
            </w:r>
          </w:p>
          <w:p w14:paraId="3CC9D37E" w14:textId="22F9E243" w:rsidR="007F3F03" w:rsidRPr="007F3F03" w:rsidRDefault="007F3F03" w:rsidP="008A5668">
            <w:pPr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 w:rsidR="008A5668"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</w:rPr>
              <w:t>:</w:t>
            </w:r>
            <w:r w:rsidR="008A5668"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</w:rPr>
              <w:t xml:space="preserve"> – 1:25</w:t>
            </w:r>
          </w:p>
        </w:tc>
      </w:tr>
      <w:tr w:rsidR="00EB3267" w14:paraId="50881F50" w14:textId="77777777" w:rsidTr="00B05EF0">
        <w:trPr>
          <w:trHeight w:val="420"/>
        </w:trPr>
        <w:tc>
          <w:tcPr>
            <w:tcW w:w="9400" w:type="dxa"/>
            <w:gridSpan w:val="2"/>
          </w:tcPr>
          <w:p w14:paraId="50881F4F" w14:textId="17025FA3" w:rsidR="00EB3267" w:rsidRPr="00E728BB" w:rsidRDefault="000E5BD2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E728BB">
              <w:rPr>
                <w:rFonts w:ascii="Arial" w:eastAsia="Arial" w:hAnsi="Arial" w:cs="Arial"/>
                <w:b/>
              </w:rPr>
              <w:lastRenderedPageBreak/>
              <w:t xml:space="preserve">Goal: 4 Levels of Change is a framework to support using equity throughout the system and converting concept into action </w:t>
            </w:r>
          </w:p>
        </w:tc>
      </w:tr>
      <w:tr w:rsidR="00EB3267" w14:paraId="50881F5A" w14:textId="77777777" w:rsidTr="00314E15">
        <w:trPr>
          <w:trHeight w:val="420"/>
        </w:trPr>
        <w:tc>
          <w:tcPr>
            <w:tcW w:w="7290" w:type="dxa"/>
          </w:tcPr>
          <w:p w14:paraId="704AFB94" w14:textId="76E2CBBA" w:rsidR="00E32B31" w:rsidRDefault="008010CB">
            <w:pPr>
              <w:widowControl w:val="0"/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 w:rsidRPr="00E728BB">
              <w:rPr>
                <w:rFonts w:ascii="Arial" w:eastAsia="Arial" w:hAnsi="Arial" w:cs="Arial"/>
              </w:rPr>
              <w:t xml:space="preserve">Overview of the 4 levels of change: </w:t>
            </w:r>
          </w:p>
          <w:p w14:paraId="1C2F378B" w14:textId="78BBDFF2" w:rsidR="00EB3267" w:rsidRPr="00E728BB" w:rsidRDefault="00E32B31">
            <w:pPr>
              <w:widowControl w:val="0"/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 </w:t>
            </w:r>
            <w:r w:rsidR="008010CB" w:rsidRPr="00E728BB">
              <w:rPr>
                <w:rFonts w:ascii="Arial" w:eastAsia="Arial" w:hAnsi="Arial" w:cs="Arial"/>
              </w:rPr>
              <w:t>Personal, Interpersonal, Institutional, Systemic</w:t>
            </w:r>
          </w:p>
          <w:p w14:paraId="75C6DFBF" w14:textId="77777777" w:rsidR="008010CB" w:rsidRPr="00E728BB" w:rsidRDefault="008010CB">
            <w:pPr>
              <w:widowControl w:val="0"/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</w:p>
          <w:p w14:paraId="02544B8B" w14:textId="790257AC" w:rsidR="00CF7D53" w:rsidRDefault="00CF7D53">
            <w:pPr>
              <w:widowControl w:val="0"/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Clearly d</w:t>
            </w:r>
            <w:r w:rsidR="008010CB" w:rsidRPr="00E728BB">
              <w:rPr>
                <w:rFonts w:ascii="Arial" w:eastAsia="Arial" w:hAnsi="Arial" w:cs="Arial"/>
              </w:rPr>
              <w:t>efining each</w:t>
            </w:r>
            <w:r>
              <w:rPr>
                <w:rFonts w:ascii="Arial" w:eastAsia="Arial" w:hAnsi="Arial" w:cs="Arial"/>
              </w:rPr>
              <w:t xml:space="preserve"> with practical examples with a hands-on activity</w:t>
            </w:r>
            <w:r w:rsidR="00E32F59">
              <w:rPr>
                <w:rFonts w:ascii="Arial" w:eastAsia="Arial" w:hAnsi="Arial" w:cs="Arial"/>
              </w:rPr>
              <w:t>, commitments to what each is willing to do to support change in each area and where people see themselves within each of the 4 parts of the greater whole</w:t>
            </w:r>
          </w:p>
          <w:p w14:paraId="69EA4FED" w14:textId="5D092D68" w:rsidR="00E32F59" w:rsidRDefault="00E32F59">
            <w:pPr>
              <w:widowControl w:val="0"/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</w:p>
          <w:p w14:paraId="1EDB0416" w14:textId="77777777" w:rsidR="008010CB" w:rsidRDefault="00E32F59" w:rsidP="007F3F03">
            <w:pPr>
              <w:widowControl w:val="0"/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Video (</w:t>
            </w:r>
            <w:r w:rsidR="007F3F03">
              <w:rPr>
                <w:rFonts w:ascii="Arial" w:eastAsia="Arial" w:hAnsi="Arial" w:cs="Arial"/>
              </w:rPr>
              <w:t xml:space="preserve">Implicit Bias) – 4 min. </w:t>
            </w:r>
          </w:p>
          <w:p w14:paraId="50881F51" w14:textId="3B6FC933" w:rsidR="008A5668" w:rsidRPr="00E728BB" w:rsidRDefault="008A5668" w:rsidP="007F3F03">
            <w:pPr>
              <w:widowControl w:val="0"/>
              <w:spacing w:after="0" w:line="240" w:lineRule="auto"/>
              <w:ind w:left="720" w:hanging="7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Reflect</w:t>
            </w:r>
          </w:p>
        </w:tc>
        <w:tc>
          <w:tcPr>
            <w:tcW w:w="2110" w:type="dxa"/>
          </w:tcPr>
          <w:p w14:paraId="46F1EB80" w14:textId="77777777" w:rsidR="00EB3267" w:rsidRDefault="00EB3267" w:rsidP="008010CB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  <w:p w14:paraId="49E475E0" w14:textId="77777777" w:rsidR="007F3F03" w:rsidRDefault="007F3F03" w:rsidP="008010CB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 min.</w:t>
            </w:r>
          </w:p>
          <w:p w14:paraId="745AC32C" w14:textId="581482A7" w:rsidR="007F3F03" w:rsidRDefault="007F3F03" w:rsidP="008010CB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1:25 – 1:50</w:t>
            </w:r>
          </w:p>
          <w:p w14:paraId="50881F59" w14:textId="617FA4D1" w:rsidR="007F3F03" w:rsidRPr="00E728BB" w:rsidRDefault="007F3F03" w:rsidP="008010CB">
            <w:pPr>
              <w:widowControl w:val="0"/>
              <w:spacing w:after="0" w:line="240" w:lineRule="auto"/>
              <w:ind w:left="360"/>
              <w:rPr>
                <w:rFonts w:ascii="Arial" w:eastAsia="Arial" w:hAnsi="Arial" w:cs="Arial"/>
              </w:rPr>
            </w:pPr>
          </w:p>
        </w:tc>
      </w:tr>
      <w:tr w:rsidR="00875910" w14:paraId="442128D8" w14:textId="77777777" w:rsidTr="0017424A">
        <w:trPr>
          <w:trHeight w:val="420"/>
        </w:trPr>
        <w:tc>
          <w:tcPr>
            <w:tcW w:w="9400" w:type="dxa"/>
            <w:gridSpan w:val="2"/>
          </w:tcPr>
          <w:p w14:paraId="175C1F15" w14:textId="4E2B2F7F" w:rsidR="00875910" w:rsidRPr="00CF7D53" w:rsidRDefault="00E32F59" w:rsidP="00CF7D53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</w:rPr>
              <w:t>Wrap up and reflection</w:t>
            </w:r>
            <w:r w:rsidR="00875910">
              <w:rPr>
                <w:rFonts w:ascii="Arial" w:eastAsia="Arial" w:hAnsi="Arial" w:cs="Arial"/>
                <w:b/>
                <w:bCs/>
              </w:rPr>
              <w:t xml:space="preserve"> </w:t>
            </w:r>
            <w:r w:rsidR="007F3F03">
              <w:rPr>
                <w:rFonts w:ascii="Arial" w:eastAsia="Arial" w:hAnsi="Arial" w:cs="Arial"/>
                <w:b/>
                <w:bCs/>
              </w:rPr>
              <w:t>– Valyn Turner video (3 ½ min) 1:50 – 2:00</w:t>
            </w:r>
          </w:p>
        </w:tc>
      </w:tr>
    </w:tbl>
    <w:p w14:paraId="50881F6C" w14:textId="77777777" w:rsidR="00EB3267" w:rsidRDefault="00EB3267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</w:p>
    <w:p w14:paraId="50881F6D" w14:textId="0421C712" w:rsidR="00EB3267" w:rsidRPr="0095044A" w:rsidRDefault="00E332CF" w:rsidP="00E332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color w:val="000000"/>
          <w:sz w:val="28"/>
          <w:szCs w:val="28"/>
        </w:rPr>
      </w:pPr>
      <w:bookmarkStart w:id="0" w:name="_GoBack"/>
      <w:bookmarkEnd w:id="0"/>
      <w:r w:rsidRPr="0095044A">
        <w:rPr>
          <w:color w:val="000000"/>
          <w:sz w:val="28"/>
          <w:szCs w:val="28"/>
        </w:rPr>
        <w:t>Total time: approx. 2 hrs</w:t>
      </w:r>
      <w:r w:rsidR="0095044A" w:rsidRPr="0095044A">
        <w:rPr>
          <w:color w:val="000000"/>
          <w:sz w:val="28"/>
          <w:szCs w:val="28"/>
        </w:rPr>
        <w:t xml:space="preserve"> </w:t>
      </w:r>
    </w:p>
    <w:sectPr w:rsidR="00EB3267" w:rsidRPr="0095044A" w:rsidSect="00CD6B48">
      <w:pgSz w:w="12240" w:h="15840"/>
      <w:pgMar w:top="630" w:right="1440" w:bottom="1440" w:left="63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6183F6" w14:textId="77777777" w:rsidR="007C3097" w:rsidRDefault="007C3097" w:rsidP="00693F22">
      <w:pPr>
        <w:spacing w:after="0" w:line="240" w:lineRule="auto"/>
      </w:pPr>
      <w:r>
        <w:separator/>
      </w:r>
    </w:p>
  </w:endnote>
  <w:endnote w:type="continuationSeparator" w:id="0">
    <w:p w14:paraId="324D3C29" w14:textId="77777777" w:rsidR="007C3097" w:rsidRDefault="007C3097" w:rsidP="00693F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8D4D50" w14:textId="77777777" w:rsidR="007C3097" w:rsidRDefault="007C3097" w:rsidP="00693F22">
      <w:pPr>
        <w:spacing w:after="0" w:line="240" w:lineRule="auto"/>
      </w:pPr>
      <w:r>
        <w:separator/>
      </w:r>
    </w:p>
  </w:footnote>
  <w:footnote w:type="continuationSeparator" w:id="0">
    <w:p w14:paraId="7008F681" w14:textId="77777777" w:rsidR="007C3097" w:rsidRDefault="007C3097" w:rsidP="00693F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E6D23"/>
    <w:multiLevelType w:val="multilevel"/>
    <w:tmpl w:val="517EB3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2C35E81"/>
    <w:multiLevelType w:val="hybridMultilevel"/>
    <w:tmpl w:val="768A2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33102"/>
    <w:multiLevelType w:val="multilevel"/>
    <w:tmpl w:val="9F8E82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E7312DD"/>
    <w:multiLevelType w:val="hybridMultilevel"/>
    <w:tmpl w:val="D17E5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1B1474"/>
    <w:multiLevelType w:val="multilevel"/>
    <w:tmpl w:val="C63A23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3AB45F7"/>
    <w:multiLevelType w:val="multilevel"/>
    <w:tmpl w:val="A786310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4DC61E3"/>
    <w:multiLevelType w:val="hybridMultilevel"/>
    <w:tmpl w:val="053621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30B7"/>
    <w:multiLevelType w:val="hybridMultilevel"/>
    <w:tmpl w:val="11C29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93DCA"/>
    <w:multiLevelType w:val="hybridMultilevel"/>
    <w:tmpl w:val="4E3CE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EE44F3"/>
    <w:multiLevelType w:val="multilevel"/>
    <w:tmpl w:val="D3CCB8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1505502"/>
    <w:multiLevelType w:val="hybridMultilevel"/>
    <w:tmpl w:val="049E7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048B0"/>
    <w:multiLevelType w:val="multilevel"/>
    <w:tmpl w:val="998CF7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57D1B51"/>
    <w:multiLevelType w:val="multilevel"/>
    <w:tmpl w:val="3334B2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0"/>
  </w:num>
  <w:num w:numId="9">
    <w:abstractNumId w:val="7"/>
  </w:num>
  <w:num w:numId="10">
    <w:abstractNumId w:val="6"/>
  </w:num>
  <w:num w:numId="11">
    <w:abstractNumId w:val="1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67"/>
    <w:rsid w:val="00026135"/>
    <w:rsid w:val="0004353D"/>
    <w:rsid w:val="000573D1"/>
    <w:rsid w:val="00073EE7"/>
    <w:rsid w:val="00082FCC"/>
    <w:rsid w:val="000B737B"/>
    <w:rsid w:val="000E5BD2"/>
    <w:rsid w:val="00147C52"/>
    <w:rsid w:val="001E7214"/>
    <w:rsid w:val="0020582E"/>
    <w:rsid w:val="00221D73"/>
    <w:rsid w:val="00242AD0"/>
    <w:rsid w:val="00243233"/>
    <w:rsid w:val="00266752"/>
    <w:rsid w:val="00285018"/>
    <w:rsid w:val="002E7C09"/>
    <w:rsid w:val="00314E15"/>
    <w:rsid w:val="00315AA5"/>
    <w:rsid w:val="003326AA"/>
    <w:rsid w:val="003711C7"/>
    <w:rsid w:val="003D169D"/>
    <w:rsid w:val="003F2E48"/>
    <w:rsid w:val="003F2EEF"/>
    <w:rsid w:val="00427598"/>
    <w:rsid w:val="0044000A"/>
    <w:rsid w:val="004C1FE0"/>
    <w:rsid w:val="004F5409"/>
    <w:rsid w:val="0052385B"/>
    <w:rsid w:val="005364AC"/>
    <w:rsid w:val="005619D6"/>
    <w:rsid w:val="005A6520"/>
    <w:rsid w:val="005E773B"/>
    <w:rsid w:val="00634928"/>
    <w:rsid w:val="00656723"/>
    <w:rsid w:val="006907BE"/>
    <w:rsid w:val="00693F22"/>
    <w:rsid w:val="006C636A"/>
    <w:rsid w:val="006D2CD5"/>
    <w:rsid w:val="006D2F0F"/>
    <w:rsid w:val="006E7158"/>
    <w:rsid w:val="007167EB"/>
    <w:rsid w:val="00724369"/>
    <w:rsid w:val="00745F97"/>
    <w:rsid w:val="00756E7B"/>
    <w:rsid w:val="00771224"/>
    <w:rsid w:val="007C3097"/>
    <w:rsid w:val="007D1851"/>
    <w:rsid w:val="007D7AB3"/>
    <w:rsid w:val="007F3F03"/>
    <w:rsid w:val="008010CB"/>
    <w:rsid w:val="008057B2"/>
    <w:rsid w:val="008120EB"/>
    <w:rsid w:val="008323DA"/>
    <w:rsid w:val="00842762"/>
    <w:rsid w:val="008643F6"/>
    <w:rsid w:val="00875910"/>
    <w:rsid w:val="00885120"/>
    <w:rsid w:val="008851C8"/>
    <w:rsid w:val="008A5668"/>
    <w:rsid w:val="008C4A66"/>
    <w:rsid w:val="008C4F4F"/>
    <w:rsid w:val="008D238B"/>
    <w:rsid w:val="008D3196"/>
    <w:rsid w:val="008F46BD"/>
    <w:rsid w:val="0095044A"/>
    <w:rsid w:val="00963D3F"/>
    <w:rsid w:val="00981032"/>
    <w:rsid w:val="009F6C71"/>
    <w:rsid w:val="00A30454"/>
    <w:rsid w:val="00A36F5C"/>
    <w:rsid w:val="00A44C2A"/>
    <w:rsid w:val="00A730FC"/>
    <w:rsid w:val="00AC41C3"/>
    <w:rsid w:val="00B05EF0"/>
    <w:rsid w:val="00B214C2"/>
    <w:rsid w:val="00B21F61"/>
    <w:rsid w:val="00B371AB"/>
    <w:rsid w:val="00B43B0C"/>
    <w:rsid w:val="00B536F5"/>
    <w:rsid w:val="00B566AF"/>
    <w:rsid w:val="00B572EE"/>
    <w:rsid w:val="00B6398C"/>
    <w:rsid w:val="00B76BC7"/>
    <w:rsid w:val="00BB7683"/>
    <w:rsid w:val="00BD4D84"/>
    <w:rsid w:val="00C14BB6"/>
    <w:rsid w:val="00C15340"/>
    <w:rsid w:val="00C604B8"/>
    <w:rsid w:val="00C87B12"/>
    <w:rsid w:val="00CD6B48"/>
    <w:rsid w:val="00CF7D53"/>
    <w:rsid w:val="00D04F2D"/>
    <w:rsid w:val="00D55EFB"/>
    <w:rsid w:val="00D83881"/>
    <w:rsid w:val="00DB521F"/>
    <w:rsid w:val="00E32B31"/>
    <w:rsid w:val="00E32F59"/>
    <w:rsid w:val="00E332CF"/>
    <w:rsid w:val="00E340F9"/>
    <w:rsid w:val="00E51926"/>
    <w:rsid w:val="00E728BB"/>
    <w:rsid w:val="00EA341B"/>
    <w:rsid w:val="00EB3267"/>
    <w:rsid w:val="00ED5160"/>
    <w:rsid w:val="00ED5964"/>
    <w:rsid w:val="00F201C0"/>
    <w:rsid w:val="00F37E11"/>
    <w:rsid w:val="00F800DA"/>
    <w:rsid w:val="00FE1366"/>
    <w:rsid w:val="00FF4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881F20"/>
  <w15:docId w15:val="{DDAB8F5B-88BF-41E4-9D96-A37446FA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14E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9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3F22"/>
  </w:style>
  <w:style w:type="paragraph" w:styleId="Footer">
    <w:name w:val="footer"/>
    <w:basedOn w:val="Normal"/>
    <w:link w:val="FooterChar"/>
    <w:uiPriority w:val="99"/>
    <w:unhideWhenUsed/>
    <w:rsid w:val="00693F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3F22"/>
  </w:style>
  <w:style w:type="character" w:styleId="Hyperlink">
    <w:name w:val="Hyperlink"/>
    <w:basedOn w:val="DefaultParagraphFont"/>
    <w:uiPriority w:val="99"/>
    <w:unhideWhenUsed/>
    <w:rsid w:val="0002613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26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.google.com/document/d/1Qin0TLJywi_XbTl1mrLVYf76u6knHZCWmtAT8IgIjck/edit?usp=shar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ST289e3JAfdCRGGv7b7l_XFJZNhQBYnd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nti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D634F-E2F2-4606-AA11-244248CE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1545</TotalTime>
  <Pages>2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Malai Amfahr</cp:lastModifiedBy>
  <cp:revision>89</cp:revision>
  <dcterms:created xsi:type="dcterms:W3CDTF">2020-11-03T20:06:00Z</dcterms:created>
  <dcterms:modified xsi:type="dcterms:W3CDTF">2021-03-26T20:53:00Z</dcterms:modified>
</cp:coreProperties>
</file>